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1"/>
        <w:tblW w:type="auto" w:w="0"/>
        <w:tblInd w:type="dxa" w:w="108"/>
        <w:tblLayout w:type="fixed"/>
      </w:tblPr>
      <w:tblGrid>
        <w:gridCol w:w="4452"/>
        <w:gridCol w:w="4721"/>
      </w:tblGrid>
      <w:tr>
        <w:trPr>
          <w:trHeight w:hRule="atLeast" w:val="1008"/>
        </w:trPr>
        <w:tc>
          <w:tcPr>
            <w:tcW w:type="dxa" w:w="4452"/>
          </w:tcPr>
          <w:p w14:paraId="01000000">
            <w:pPr>
              <w:widowControl w:val="0"/>
              <w:spacing w:line="240" w:lineRule="exact"/>
              <w:ind w:right="1134"/>
              <w:jc w:val="both"/>
            </w:pPr>
            <w:r>
              <w:t xml:space="preserve">    </w:t>
            </w:r>
          </w:p>
          <w:p w14:paraId="02000000">
            <w:pPr>
              <w:widowControl w:val="0"/>
              <w:spacing w:line="240" w:lineRule="exact"/>
              <w:ind w:right="1134"/>
            </w:pPr>
          </w:p>
          <w:p w14:paraId="03000000">
            <w:pPr>
              <w:widowControl w:val="0"/>
              <w:spacing w:line="240" w:lineRule="exact"/>
              <w:ind w:right="1134"/>
            </w:pPr>
          </w:p>
          <w:p w14:paraId="04000000">
            <w:pPr>
              <w:widowControl w:val="0"/>
              <w:spacing w:line="240" w:lineRule="exact"/>
              <w:ind w:right="1134"/>
            </w:pPr>
          </w:p>
          <w:p w14:paraId="05000000">
            <w:pPr>
              <w:widowControl w:val="0"/>
              <w:spacing w:line="240" w:lineRule="exact"/>
              <w:ind w:right="1134"/>
            </w:pPr>
          </w:p>
          <w:p w14:paraId="06000000">
            <w:pPr>
              <w:widowControl w:val="0"/>
              <w:spacing w:line="240" w:lineRule="exact"/>
              <w:ind w:right="1134"/>
            </w:pPr>
          </w:p>
          <w:p w14:paraId="07000000">
            <w:pPr>
              <w:widowControl w:val="0"/>
              <w:spacing w:line="240" w:lineRule="exact"/>
              <w:ind w:right="459"/>
            </w:pPr>
            <w:r>
              <w:t xml:space="preserve">               </w:t>
            </w:r>
          </w:p>
        </w:tc>
        <w:tc>
          <w:tcPr>
            <w:tcW w:type="dxa" w:w="4721"/>
          </w:tcPr>
          <w:p w14:paraId="08000000">
            <w:pPr>
              <w:widowControl w:val="0"/>
              <w:spacing w:line="240" w:lineRule="exact"/>
              <w:ind/>
              <w:jc w:val="both"/>
            </w:pPr>
          </w:p>
        </w:tc>
      </w:tr>
    </w:tbl>
    <w:p w14:paraId="09000000">
      <w:pPr>
        <w:widowControl w:val="0"/>
        <w:ind/>
        <w:jc w:val="both"/>
        <w:rPr>
          <w:b w:val="1"/>
        </w:rPr>
      </w:pPr>
    </w:p>
    <w:p w14:paraId="0A000000">
      <w:pPr>
        <w:widowControl w:val="0"/>
        <w:ind w:firstLine="0" w:left="0"/>
        <w:jc w:val="both"/>
        <w:outlineLvl w:val="0"/>
        <w:rPr>
          <w:b w:val="1"/>
        </w:rPr>
      </w:pPr>
      <w:r>
        <w:rPr>
          <w:b w:val="1"/>
        </w:rPr>
        <w:t>ИНФОРМАЦИЯ</w:t>
      </w:r>
    </w:p>
    <w:p w14:paraId="0B000000">
      <w:pPr>
        <w:widowControl w:val="0"/>
        <w:tabs>
          <w:tab w:leader="none" w:pos="0" w:val="left"/>
        </w:tabs>
        <w:ind w:firstLine="0" w:left="0" w:right="4958"/>
        <w:jc w:val="both"/>
        <w:outlineLvl w:val="0"/>
      </w:pPr>
      <w:r>
        <w:t>для размещения</w:t>
      </w:r>
      <w:r>
        <w:t xml:space="preserve"> «Разъяснение законодательства»</w:t>
      </w:r>
      <w:r>
        <w:t xml:space="preserve"> </w:t>
      </w:r>
    </w:p>
    <w:p w14:paraId="0C000000">
      <w:pPr>
        <w:widowControl w:val="0"/>
        <w:ind/>
        <w:jc w:val="both"/>
        <w:rPr>
          <w:rFonts w:ascii="Times New Roman" w:hAnsi="Times New Roman"/>
          <w:b w:val="1"/>
          <w:sz w:val="28"/>
        </w:rPr>
      </w:pPr>
    </w:p>
    <w:p w14:paraId="0D000000">
      <w:pPr>
        <w:widowControl w:val="1"/>
        <w:spacing w:after="0" w:line="240" w:lineRule="auto"/>
        <w:ind/>
        <w:jc w:val="both"/>
        <w:rPr>
          <w:rFonts w:ascii="Times New Roman" w:hAnsi="Times New Roman"/>
          <w:b w:val="1"/>
          <w:sz w:val="28"/>
        </w:rPr>
      </w:pPr>
      <w:r>
        <w:rPr>
          <w:rFonts w:ascii="Times New Roman" w:hAnsi="Times New Roman"/>
          <w:b w:val="1"/>
          <w:sz w:val="28"/>
        </w:rPr>
        <w:t>Конституционный Суд РФ обязал федерального законодателя урегулировать порядок возврата товара, приобретенного онлайн</w:t>
      </w:r>
    </w:p>
    <w:p w14:paraId="0E000000">
      <w:pPr>
        <w:widowControl w:val="1"/>
        <w:spacing w:after="0" w:line="240" w:lineRule="auto"/>
        <w:ind/>
        <w:jc w:val="both"/>
        <w:rPr>
          <w:rFonts w:ascii="Times New Roman" w:hAnsi="Times New Roman"/>
          <w:sz w:val="28"/>
        </w:rPr>
      </w:pPr>
    </w:p>
    <w:p w14:paraId="0F000000">
      <w:pPr>
        <w:widowControl w:val="1"/>
        <w:spacing w:after="0" w:line="240" w:lineRule="auto"/>
        <w:ind w:firstLine="567"/>
        <w:jc w:val="both"/>
        <w:rPr>
          <w:rFonts w:ascii="Courier New" w:hAnsi="Courier New"/>
          <w:sz w:val="10"/>
        </w:rPr>
      </w:pPr>
      <w:r>
        <w:rPr>
          <w:rFonts w:ascii="Times New Roman" w:hAnsi="Times New Roman"/>
          <w:sz w:val="28"/>
        </w:rPr>
        <w:t>Постановлением от 17.02.2026 № 7-П «По делу о проверке конституционности пунктов 3 и 4 статьи 26.1 Закона Российской Федерации «О защите прав потребителей» указанные нормы признаны не соответствующими Конституции РФ, поскольку они не предусматривали для покупателя возможность возврата приобретенного дистанционно товара надлежащего качества дистанционным способом.</w:t>
      </w:r>
    </w:p>
    <w:p w14:paraId="10000000">
      <w:pPr>
        <w:widowControl w:val="1"/>
        <w:spacing w:after="0" w:line="240" w:lineRule="auto"/>
        <w:ind w:firstLine="567"/>
        <w:jc w:val="both"/>
        <w:rPr>
          <w:rFonts w:ascii="Courier New" w:hAnsi="Courier New"/>
          <w:sz w:val="10"/>
        </w:rPr>
      </w:pPr>
      <w:r>
        <w:rPr>
          <w:rFonts w:ascii="Times New Roman" w:hAnsi="Times New Roman"/>
          <w:sz w:val="28"/>
        </w:rPr>
        <w:t>Федеральному законодателю надлежит внести изменения в действующее правово</w:t>
      </w:r>
      <w:r>
        <w:rPr>
          <w:rFonts w:ascii="Times New Roman" w:hAnsi="Times New Roman"/>
          <w:sz w:val="28"/>
        </w:rPr>
        <w:t>е регулирование.</w:t>
      </w:r>
    </w:p>
    <w:p w14:paraId="11000000">
      <w:pPr>
        <w:widowControl w:val="1"/>
        <w:spacing w:after="0" w:line="240" w:lineRule="auto"/>
        <w:ind w:firstLine="567"/>
        <w:jc w:val="both"/>
        <w:rPr>
          <w:rFonts w:ascii="Courier New" w:hAnsi="Courier New"/>
          <w:sz w:val="10"/>
        </w:rPr>
      </w:pPr>
      <w:r>
        <w:rPr>
          <w:rFonts w:ascii="Times New Roman" w:hAnsi="Times New Roman"/>
          <w:sz w:val="28"/>
        </w:rPr>
        <w:t>Впредь до внесения таких изменений в соответствии с По</w:t>
      </w:r>
      <w:r>
        <w:rPr>
          <w:rFonts w:ascii="Times New Roman" w:hAnsi="Times New Roman"/>
          <w:sz w:val="28"/>
        </w:rPr>
        <w:t>становлением Конституционного Суда РФ возврат товара надлежащего качества, проданного дистанционно, осуществляется любым по усмотрению покупателя способом (дистанционно или указанным продавцом при продаже товара, а также по запросу покупателя), обеспечивающим возможность проверки состояния возвращаемого товара при его получении продавцом, в том числе посредством услуг перевозчика или организации связи (притом что сам покупатель принимае</w:t>
      </w:r>
      <w:r>
        <w:rPr>
          <w:rFonts w:ascii="Times New Roman" w:hAnsi="Times New Roman"/>
          <w:sz w:val="28"/>
        </w:rPr>
        <w:t>т на себя риск случайной гибели или повреждения товара за время его тран</w:t>
      </w:r>
      <w:r>
        <w:rPr>
          <w:rFonts w:ascii="Times New Roman" w:hAnsi="Times New Roman"/>
          <w:sz w:val="28"/>
        </w:rPr>
        <w:t>спортировки (доставки), а также несет транспортные и иные связанные с доставкой расходы).</w:t>
      </w:r>
    </w:p>
    <w:p w14:paraId="12000000">
      <w:pPr>
        <w:widowControl w:val="1"/>
        <w:spacing w:after="0" w:line="240" w:lineRule="auto"/>
        <w:ind w:firstLine="567"/>
        <w:jc w:val="both"/>
        <w:rPr>
          <w:rFonts w:ascii="Courier New" w:hAnsi="Courier New"/>
          <w:sz w:val="10"/>
        </w:rPr>
      </w:pPr>
      <w:r>
        <w:rPr>
          <w:rFonts w:ascii="Times New Roman" w:hAnsi="Times New Roman"/>
          <w:sz w:val="28"/>
        </w:rPr>
        <w:br/>
      </w:r>
      <w:r>
        <w:rPr>
          <w:rFonts w:ascii="Times New Roman" w:hAnsi="Times New Roman"/>
          <w:sz w:val="28"/>
        </w:rPr>
        <w:t>Важно: Разъяснение касается только товаров надлежащего качества, приобретенных дистанционно</w:t>
      </w:r>
      <w:r>
        <w:rPr>
          <w:rFonts w:ascii="Courier New" w:hAnsi="Courier New"/>
          <w:sz w:val="10"/>
        </w:rPr>
        <w:t>.</w:t>
      </w:r>
    </w:p>
    <w:p w14:paraId="13000000">
      <w:pPr>
        <w:widowControl w:val="0"/>
        <w:ind w:firstLine="709" w:left="0"/>
      </w:pPr>
    </w:p>
    <w:p w14:paraId="14000000">
      <w:pPr>
        <w:widowControl w:val="0"/>
        <w:ind/>
        <w:jc w:val="both"/>
      </w:pPr>
    </w:p>
    <w:p w14:paraId="15000000">
      <w:pPr>
        <w:widowControl w:val="0"/>
        <w:ind/>
        <w:jc w:val="right"/>
      </w:pPr>
      <w:r>
        <w:t>Помощник прокурора города</w:t>
      </w:r>
      <w:r>
        <w:t xml:space="preserve">                                                         О.А. Копысова </w:t>
      </w:r>
    </w:p>
    <w:p w14:paraId="16000000">
      <w:pPr>
        <w:widowControl w:val="0"/>
        <w:ind w:firstLine="709" w:left="0"/>
        <w:jc w:val="both"/>
      </w:pPr>
    </w:p>
    <w:sectPr>
      <w:pgSz w:h="16838" w:orient="portrait" w:w="11906"/>
      <w:pgMar w:bottom="1531"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widowControl w:val="0"/>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0"/>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0"/>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0"/>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0"/>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widowControl w:val="0"/>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Normal (Web)"/>
    <w:basedOn w:val="Style_2"/>
    <w:link w:val="Style_9_ch"/>
    <w:pPr>
      <w:widowControl w:val="0"/>
      <w:spacing w:afterAutospacing="on" w:beforeAutospacing="on"/>
      <w:ind/>
    </w:pPr>
    <w:rPr>
      <w:sz w:val="24"/>
    </w:rPr>
  </w:style>
  <w:style w:styleId="Style_9_ch" w:type="character">
    <w:name w:val="Normal (Web)"/>
    <w:basedOn w:val="Style_2_ch"/>
    <w:link w:val="Style_9"/>
    <w:rPr>
      <w:sz w:val="24"/>
    </w:rPr>
  </w:style>
  <w:style w:styleId="Style_10" w:type="paragraph">
    <w:name w:val="toc 3"/>
    <w:next w:val="Style_2"/>
    <w:link w:val="Style_10_ch"/>
    <w:uiPriority w:val="39"/>
    <w:pPr>
      <w:widowControl w:val="0"/>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er"/>
    <w:basedOn w:val="Style_2"/>
    <w:link w:val="Style_11_ch"/>
    <w:pPr>
      <w:widowControl w:val="0"/>
      <w:tabs>
        <w:tab w:leader="none" w:pos="4677" w:val="center"/>
        <w:tab w:leader="none" w:pos="9355" w:val="right"/>
      </w:tabs>
      <w:ind/>
    </w:pPr>
  </w:style>
  <w:style w:styleId="Style_11_ch" w:type="character">
    <w:name w:val="header"/>
    <w:basedOn w:val="Style_2_ch"/>
    <w:link w:val="Style_11"/>
  </w:style>
  <w:style w:styleId="Style_12" w:type="paragraph">
    <w:name w:val="heading 5"/>
    <w:next w:val="Style_2"/>
    <w:link w:val="Style_12_ch"/>
    <w:uiPriority w:val="9"/>
    <w:qFormat/>
    <w:pPr>
      <w:widowControl w:val="0"/>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2"/>
    <w:link w:val="Style_13_ch"/>
    <w:uiPriority w:val="9"/>
    <w:qFormat/>
    <w:pPr>
      <w:widowControl w:val="0"/>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widowControl w:val="0"/>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widowControl w:val="0"/>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widowControl w:val="0"/>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widowControl w:val="0"/>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widowControl w:val="0"/>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2"/>
    <w:link w:val="Style_20_ch"/>
    <w:uiPriority w:val="39"/>
    <w:pPr>
      <w:widowControl w:val="0"/>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Default Paragraph Font"/>
    <w:link w:val="Style_21_ch"/>
  </w:style>
  <w:style w:styleId="Style_21_ch" w:type="character">
    <w:name w:val="Default Paragraph Font"/>
    <w:link w:val="Style_21"/>
  </w:style>
  <w:style w:styleId="Style_22" w:type="paragraph">
    <w:name w:val="Subtitle"/>
    <w:next w:val="Style_2"/>
    <w:link w:val="Style_22_ch"/>
    <w:uiPriority w:val="11"/>
    <w:qFormat/>
    <w:pPr>
      <w:widowControl w:val="0"/>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widowControl w:val="0"/>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2"/>
    <w:link w:val="Style_24_ch"/>
    <w:uiPriority w:val="9"/>
    <w:qFormat/>
    <w:pPr>
      <w:widowControl w:val="0"/>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Balloon Text"/>
    <w:basedOn w:val="Style_2"/>
    <w:link w:val="Style_25_ch"/>
    <w:rPr>
      <w:rFonts w:ascii="Segoe UI" w:hAnsi="Segoe UI"/>
      <w:sz w:val="18"/>
    </w:rPr>
  </w:style>
  <w:style w:styleId="Style_25_ch" w:type="character">
    <w:name w:val="Balloon Text"/>
    <w:basedOn w:val="Style_2_ch"/>
    <w:link w:val="Style_25"/>
    <w:rPr>
      <w:rFonts w:ascii="Segoe UI" w:hAnsi="Segoe UI"/>
      <w:sz w:val="18"/>
    </w:rPr>
  </w:style>
  <w:style w:styleId="Style_26" w:type="paragraph">
    <w:name w:val="heading 2"/>
    <w:next w:val="Style_2"/>
    <w:link w:val="Style_26_ch"/>
    <w:uiPriority w:val="9"/>
    <w:qFormat/>
    <w:pPr>
      <w:widowControl w:val="0"/>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2026-05-25T10:30:58Z</dcterms:created>
  <dcterms:modified xsi:type="dcterms:W3CDTF">2026-05-25T10:30:58Z</dcterms:modified>
</cp:coreProperties>
</file>